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bookmarkStart w:id="0" w:name="_Toc375717784"/>
      <w:r w:rsidRPr="003C72AB">
        <w:rPr>
          <w:rFonts w:ascii="Arial" w:hAnsi="Arial" w:cs="Arial"/>
          <w:sz w:val="22"/>
          <w:szCs w:val="22"/>
          <w:lang w:val="es-ES" w:eastAsia="es-ES"/>
        </w:rPr>
        <w:t>LA BALANZA DE PAGOS</w:t>
      </w:r>
    </w:p>
    <w:p w:rsidR="003C72AB" w:rsidRDefault="003C72AB" w:rsidP="003C72AB">
      <w:pPr>
        <w:adjustRightInd/>
        <w:textAlignment w:val="auto"/>
        <w:rPr>
          <w:rFonts w:ascii="Arial" w:hAnsi="Arial" w:cs="Arial"/>
          <w:sz w:val="22"/>
          <w:szCs w:val="22"/>
          <w:lang w:val="es-ES" w:eastAsia="es-ES"/>
        </w:rPr>
      </w:pP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Definición: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Es la relación de las transacciones económicas y financieras de un país con el resto del mundo.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Establecimiento y estructura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Metodología de construcción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Dos categorías de agentes económic</w:t>
      </w:r>
      <w:r>
        <w:rPr>
          <w:rFonts w:ascii="Arial" w:hAnsi="Arial" w:cs="Arial"/>
          <w:sz w:val="22"/>
          <w:szCs w:val="22"/>
          <w:lang w:val="es-ES" w:eastAsia="es-ES"/>
        </w:rPr>
        <w:t>o</w:t>
      </w:r>
      <w:r w:rsidRPr="003C72AB">
        <w:rPr>
          <w:rFonts w:ascii="Arial" w:hAnsi="Arial" w:cs="Arial"/>
          <w:sz w:val="22"/>
          <w:szCs w:val="22"/>
          <w:lang w:val="es-ES" w:eastAsia="es-ES"/>
        </w:rPr>
        <w:t>s: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Los residentes: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- Personas físicas: </w:t>
      </w:r>
      <w:r>
        <w:rPr>
          <w:rFonts w:ascii="Arial" w:hAnsi="Arial" w:cs="Arial"/>
          <w:sz w:val="22"/>
          <w:szCs w:val="22"/>
          <w:lang w:val="es-ES" w:eastAsia="es-ES"/>
        </w:rPr>
        <w:t>españoles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, extranjeros en </w:t>
      </w:r>
      <w:r>
        <w:rPr>
          <w:rFonts w:ascii="Arial" w:hAnsi="Arial" w:cs="Arial"/>
          <w:sz w:val="22"/>
          <w:szCs w:val="22"/>
          <w:lang w:val="es-ES" w:eastAsia="es-ES"/>
        </w:rPr>
        <w:t>España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desde hace 2 años, </w:t>
      </w:r>
      <w:r>
        <w:rPr>
          <w:rFonts w:ascii="Arial" w:hAnsi="Arial" w:cs="Arial"/>
          <w:sz w:val="22"/>
          <w:szCs w:val="22"/>
          <w:lang w:val="es-ES" w:eastAsia="es-ES"/>
        </w:rPr>
        <w:t>franceses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</w:t>
      </w:r>
      <w:r>
        <w:rPr>
          <w:rFonts w:ascii="Arial" w:hAnsi="Arial" w:cs="Arial"/>
          <w:sz w:val="22"/>
          <w:szCs w:val="22"/>
          <w:lang w:val="es-ES" w:eastAsia="es-ES"/>
        </w:rPr>
        <w:t>en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</w:t>
      </w:r>
      <w:r>
        <w:rPr>
          <w:rFonts w:ascii="Arial" w:hAnsi="Arial" w:cs="Arial"/>
          <w:sz w:val="22"/>
          <w:szCs w:val="22"/>
          <w:lang w:val="es-ES" w:eastAsia="es-ES"/>
        </w:rPr>
        <w:t xml:space="preserve">el 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extranjero desde </w:t>
      </w:r>
      <w:r>
        <w:rPr>
          <w:rFonts w:ascii="Arial" w:hAnsi="Arial" w:cs="Arial"/>
          <w:sz w:val="22"/>
          <w:szCs w:val="22"/>
          <w:lang w:val="es-ES" w:eastAsia="es-ES"/>
        </w:rPr>
        <w:t xml:space="preserve">hace </w:t>
      </w:r>
      <w:r w:rsidRPr="003C72AB">
        <w:rPr>
          <w:rFonts w:ascii="Arial" w:hAnsi="Arial" w:cs="Arial"/>
          <w:sz w:val="22"/>
          <w:szCs w:val="22"/>
          <w:lang w:val="es-ES" w:eastAsia="es-ES"/>
        </w:rPr>
        <w:t>menos de 2 años.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- Personas jurídicas: </w:t>
      </w:r>
      <w:r>
        <w:rPr>
          <w:rFonts w:ascii="Arial" w:hAnsi="Arial" w:cs="Arial"/>
          <w:sz w:val="22"/>
          <w:szCs w:val="22"/>
          <w:lang w:val="es-ES" w:eastAsia="es-ES"/>
        </w:rPr>
        <w:t>españolas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o extranjeras </w:t>
      </w:r>
      <w:r>
        <w:rPr>
          <w:rFonts w:ascii="Arial" w:hAnsi="Arial" w:cs="Arial"/>
          <w:sz w:val="22"/>
          <w:szCs w:val="22"/>
          <w:lang w:val="es-ES" w:eastAsia="es-ES"/>
        </w:rPr>
        <w:t>por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sus establecimientos situados en </w:t>
      </w:r>
      <w:r>
        <w:rPr>
          <w:rFonts w:ascii="Arial" w:hAnsi="Arial" w:cs="Arial"/>
          <w:sz w:val="22"/>
          <w:szCs w:val="22"/>
          <w:lang w:val="es-ES" w:eastAsia="es-ES"/>
        </w:rPr>
        <w:t>España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, embajadas y misiones </w:t>
      </w:r>
      <w:r>
        <w:rPr>
          <w:rFonts w:ascii="Arial" w:hAnsi="Arial" w:cs="Arial"/>
          <w:sz w:val="22"/>
          <w:szCs w:val="22"/>
          <w:lang w:val="es-ES" w:eastAsia="es-ES"/>
        </w:rPr>
        <w:t>españolas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en el extranjero.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Los no residentes: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- Personas físicas: extranjeros en </w:t>
      </w:r>
      <w:r>
        <w:rPr>
          <w:rFonts w:ascii="Arial" w:hAnsi="Arial" w:cs="Arial"/>
          <w:sz w:val="22"/>
          <w:szCs w:val="22"/>
          <w:lang w:val="es-ES" w:eastAsia="es-ES"/>
        </w:rPr>
        <w:t>España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desde </w:t>
      </w:r>
      <w:r>
        <w:rPr>
          <w:rFonts w:ascii="Arial" w:hAnsi="Arial" w:cs="Arial"/>
          <w:sz w:val="22"/>
          <w:szCs w:val="22"/>
          <w:lang w:val="es-ES" w:eastAsia="es-ES"/>
        </w:rPr>
        <w:t xml:space="preserve">hace 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menos de 2 años, </w:t>
      </w:r>
      <w:r>
        <w:rPr>
          <w:rFonts w:ascii="Arial" w:hAnsi="Arial" w:cs="Arial"/>
          <w:sz w:val="22"/>
          <w:szCs w:val="22"/>
          <w:lang w:val="es-ES" w:eastAsia="es-ES"/>
        </w:rPr>
        <w:t>españoles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</w:t>
      </w:r>
      <w:r>
        <w:rPr>
          <w:rFonts w:ascii="Arial" w:hAnsi="Arial" w:cs="Arial"/>
          <w:sz w:val="22"/>
          <w:szCs w:val="22"/>
          <w:lang w:val="es-ES" w:eastAsia="es-ES"/>
        </w:rPr>
        <w:t>en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</w:t>
      </w:r>
      <w:r>
        <w:rPr>
          <w:rFonts w:ascii="Arial" w:hAnsi="Arial" w:cs="Arial"/>
          <w:sz w:val="22"/>
          <w:szCs w:val="22"/>
          <w:lang w:val="es-ES" w:eastAsia="es-ES"/>
        </w:rPr>
        <w:t xml:space="preserve">el 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extranjero desde hace 2 años, funcionarios extranjeros en </w:t>
      </w:r>
      <w:r>
        <w:rPr>
          <w:rFonts w:ascii="Arial" w:hAnsi="Arial" w:cs="Arial"/>
          <w:sz w:val="22"/>
          <w:szCs w:val="22"/>
          <w:lang w:val="es-ES" w:eastAsia="es-ES"/>
        </w:rPr>
        <w:t>España</w:t>
      </w:r>
      <w:r w:rsidRPr="003C72AB">
        <w:rPr>
          <w:rFonts w:ascii="Arial" w:hAnsi="Arial" w:cs="Arial"/>
          <w:sz w:val="22"/>
          <w:szCs w:val="22"/>
          <w:lang w:val="es-ES" w:eastAsia="es-ES"/>
        </w:rPr>
        <w:t>.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- Personas jurídicas: establecimientos en el extranjero de todas las nacionalidades, embajadas y misiones </w:t>
      </w:r>
      <w:r>
        <w:rPr>
          <w:rFonts w:ascii="Arial" w:hAnsi="Arial" w:cs="Arial"/>
          <w:sz w:val="22"/>
          <w:szCs w:val="22"/>
          <w:lang w:val="es-ES" w:eastAsia="es-ES"/>
        </w:rPr>
        <w:t>extranjeras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en </w:t>
      </w:r>
      <w:r>
        <w:rPr>
          <w:rFonts w:ascii="Arial" w:hAnsi="Arial" w:cs="Arial"/>
          <w:sz w:val="22"/>
          <w:szCs w:val="22"/>
          <w:lang w:val="es-ES" w:eastAsia="es-ES"/>
        </w:rPr>
        <w:t>España</w:t>
      </w:r>
      <w:r w:rsidRPr="003C72AB">
        <w:rPr>
          <w:rFonts w:ascii="Arial" w:hAnsi="Arial" w:cs="Arial"/>
          <w:sz w:val="22"/>
          <w:szCs w:val="22"/>
          <w:lang w:val="es-ES" w:eastAsia="es-ES"/>
        </w:rPr>
        <w:t>.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Operaciones contabilizadas: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Operaciones sobre mercancías, servicios y capitales.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Registro de las operaciones: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Desde 1972, se establece en términos de transacción, es decir, en el momento del paso </w:t>
      </w:r>
      <w:r w:rsidR="009A43DB">
        <w:rPr>
          <w:rFonts w:ascii="Arial" w:hAnsi="Arial" w:cs="Arial"/>
          <w:sz w:val="22"/>
          <w:szCs w:val="22"/>
          <w:lang w:val="es-ES" w:eastAsia="es-ES"/>
        </w:rPr>
        <w:t>por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aduana de los bienes. Para los servicios, el registro se hace </w:t>
      </w:r>
      <w:r w:rsidR="009A43DB">
        <w:rPr>
          <w:rFonts w:ascii="Arial" w:hAnsi="Arial" w:cs="Arial"/>
          <w:sz w:val="22"/>
          <w:szCs w:val="22"/>
          <w:lang w:val="es-ES" w:eastAsia="es-ES"/>
        </w:rPr>
        <w:t>en la fecha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de</w:t>
      </w:r>
      <w:r w:rsidR="009A43DB">
        <w:rPr>
          <w:rFonts w:ascii="Arial" w:hAnsi="Arial" w:cs="Arial"/>
          <w:sz w:val="22"/>
          <w:szCs w:val="22"/>
          <w:lang w:val="es-ES" w:eastAsia="es-ES"/>
        </w:rPr>
        <w:t xml:space="preserve"> la reglamentación</w:t>
      </w:r>
      <w:r w:rsidRPr="003C72AB">
        <w:rPr>
          <w:rFonts w:ascii="Arial" w:hAnsi="Arial" w:cs="Arial"/>
          <w:sz w:val="22"/>
          <w:szCs w:val="22"/>
          <w:lang w:val="es-ES" w:eastAsia="es-ES"/>
        </w:rPr>
        <w:t>. Lo mismo ocurre con las inversiones financieras.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La contabilidad se efectúa según el principio de la parte doble: por una parte</w:t>
      </w:r>
      <w:r w:rsidR="009A43DB">
        <w:rPr>
          <w:rFonts w:ascii="Arial" w:hAnsi="Arial" w:cs="Arial"/>
          <w:sz w:val="22"/>
          <w:szCs w:val="22"/>
          <w:lang w:val="es-ES" w:eastAsia="es-ES"/>
        </w:rPr>
        <w:t>,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la naturaleza económica de la operación, </w:t>
      </w:r>
      <w:r w:rsidR="009A43DB">
        <w:rPr>
          <w:rFonts w:ascii="Arial" w:hAnsi="Arial" w:cs="Arial"/>
          <w:sz w:val="22"/>
          <w:szCs w:val="22"/>
          <w:lang w:val="es-ES" w:eastAsia="es-ES"/>
        </w:rPr>
        <w:t>y por la otra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, su </w:t>
      </w:r>
      <w:r w:rsidR="009A43DB">
        <w:rPr>
          <w:rFonts w:ascii="Arial" w:hAnsi="Arial" w:cs="Arial"/>
          <w:sz w:val="22"/>
          <w:szCs w:val="22"/>
          <w:lang w:val="es-ES" w:eastAsia="es-ES"/>
        </w:rPr>
        <w:t>modo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de </w:t>
      </w:r>
      <w:r w:rsidR="009A43DB">
        <w:rPr>
          <w:rFonts w:ascii="Arial" w:hAnsi="Arial" w:cs="Arial"/>
          <w:sz w:val="22"/>
          <w:szCs w:val="22"/>
          <w:lang w:val="es-ES" w:eastAsia="es-ES"/>
        </w:rPr>
        <w:t>reglamentación</w:t>
      </w:r>
      <w:r w:rsidRPr="003C72AB">
        <w:rPr>
          <w:rFonts w:ascii="Arial" w:hAnsi="Arial" w:cs="Arial"/>
          <w:sz w:val="22"/>
          <w:szCs w:val="22"/>
          <w:lang w:val="es-ES" w:eastAsia="es-ES"/>
        </w:rPr>
        <w:t>.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Componentes y saldos significativos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Balanza de las transacciones corrientes: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Balanza comercial, más balanza de los servicios, más balanza de las transferencias unilaterales (</w:t>
      </w:r>
      <w:r w:rsidR="009A43DB">
        <w:rPr>
          <w:rFonts w:ascii="Arial" w:hAnsi="Arial" w:cs="Arial"/>
          <w:sz w:val="22"/>
          <w:szCs w:val="22"/>
          <w:lang w:val="es-ES" w:eastAsia="es-ES"/>
        </w:rPr>
        <w:t xml:space="preserve">por 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ejemplo: transferencia de material a una filial extranjera que no dará lugar a </w:t>
      </w:r>
      <w:r w:rsidR="009A43DB">
        <w:rPr>
          <w:rFonts w:ascii="Arial" w:hAnsi="Arial" w:cs="Arial"/>
          <w:sz w:val="22"/>
          <w:szCs w:val="22"/>
          <w:lang w:val="es-ES" w:eastAsia="es-ES"/>
        </w:rPr>
        <w:t>reglamentación</w:t>
      </w:r>
      <w:r w:rsidRPr="003C72AB">
        <w:rPr>
          <w:rFonts w:ascii="Arial" w:hAnsi="Arial" w:cs="Arial"/>
          <w:sz w:val="22"/>
          <w:szCs w:val="22"/>
          <w:lang w:val="es-ES" w:eastAsia="es-ES"/>
        </w:rPr>
        <w:t>).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Balanza comercial: 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Exportación - Importaci</w:t>
      </w:r>
      <w:r w:rsidR="009A43DB">
        <w:rPr>
          <w:rFonts w:ascii="Arial" w:hAnsi="Arial" w:cs="Arial"/>
          <w:sz w:val="22"/>
          <w:szCs w:val="22"/>
          <w:lang w:val="es-ES" w:eastAsia="es-ES"/>
        </w:rPr>
        <w:t>ón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</w:t>
      </w:r>
      <w:r w:rsidR="009A43DB">
        <w:rPr>
          <w:rFonts w:ascii="Arial" w:hAnsi="Arial" w:cs="Arial"/>
          <w:sz w:val="22"/>
          <w:szCs w:val="22"/>
          <w:lang w:val="es-ES" w:eastAsia="es-ES"/>
        </w:rPr>
        <w:t>incluido coste, seguro más transporte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. El saldo indica si </w:t>
      </w:r>
      <w:r w:rsidR="009A43DB">
        <w:rPr>
          <w:rFonts w:ascii="Arial" w:hAnsi="Arial" w:cs="Arial"/>
          <w:sz w:val="22"/>
          <w:szCs w:val="22"/>
          <w:lang w:val="es-ES" w:eastAsia="es-ES"/>
        </w:rPr>
        <w:t>habrá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</w:t>
      </w:r>
      <w:r w:rsidR="009A43DB">
        <w:rPr>
          <w:rFonts w:ascii="Arial" w:hAnsi="Arial" w:cs="Arial"/>
          <w:sz w:val="22"/>
          <w:szCs w:val="22"/>
          <w:lang w:val="es-ES" w:eastAsia="es-ES"/>
        </w:rPr>
        <w:t xml:space="preserve">ingreso </w:t>
      </w:r>
      <w:r w:rsidRPr="003C72AB">
        <w:rPr>
          <w:rFonts w:ascii="Arial" w:hAnsi="Arial" w:cs="Arial"/>
          <w:sz w:val="22"/>
          <w:szCs w:val="22"/>
          <w:lang w:val="es-ES" w:eastAsia="es-ES"/>
        </w:rPr>
        <w:t>net</w:t>
      </w:r>
      <w:r w:rsidR="009A43DB">
        <w:rPr>
          <w:rFonts w:ascii="Arial" w:hAnsi="Arial" w:cs="Arial"/>
          <w:sz w:val="22"/>
          <w:szCs w:val="22"/>
          <w:lang w:val="es-ES" w:eastAsia="es-ES"/>
        </w:rPr>
        <w:t>o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o no de divisas. Se calcula el índice de cobertura de las Importaciones por las Exportaciones. Pueden </w:t>
      </w:r>
      <w:r w:rsidR="0034641C">
        <w:rPr>
          <w:rFonts w:ascii="Arial" w:hAnsi="Arial" w:cs="Arial"/>
          <w:sz w:val="22"/>
          <w:szCs w:val="22"/>
          <w:lang w:val="es-ES" w:eastAsia="es-ES"/>
        </w:rPr>
        <w:t>estar situado</w:t>
      </w:r>
      <w:r w:rsidR="00783612">
        <w:rPr>
          <w:rFonts w:ascii="Arial" w:hAnsi="Arial" w:cs="Arial"/>
          <w:sz w:val="22"/>
          <w:szCs w:val="22"/>
          <w:lang w:val="es-ES" w:eastAsia="es-ES"/>
        </w:rPr>
        <w:t>s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</w:t>
      </w:r>
      <w:r w:rsidR="0034641C">
        <w:rPr>
          <w:rFonts w:ascii="Arial" w:hAnsi="Arial" w:cs="Arial"/>
          <w:sz w:val="22"/>
          <w:szCs w:val="22"/>
          <w:lang w:val="es-ES" w:eastAsia="es-ES"/>
        </w:rPr>
        <w:t>en el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95%.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Existencia de una </w:t>
      </w:r>
      <w:r w:rsidR="0034641C">
        <w:rPr>
          <w:rFonts w:ascii="Arial" w:hAnsi="Arial" w:cs="Arial"/>
          <w:sz w:val="22"/>
          <w:szCs w:val="22"/>
          <w:lang w:val="es-ES" w:eastAsia="es-ES"/>
        </w:rPr>
        <w:t>sección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“corretaje internacional”: compras en el extranjero y reventa en el extranjero sin pas</w:t>
      </w:r>
      <w:r w:rsidR="0034641C">
        <w:rPr>
          <w:rFonts w:ascii="Arial" w:hAnsi="Arial" w:cs="Arial"/>
          <w:sz w:val="22"/>
          <w:szCs w:val="22"/>
          <w:lang w:val="es-ES" w:eastAsia="es-ES"/>
        </w:rPr>
        <w:t>ar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</w:t>
      </w:r>
      <w:r w:rsidR="0034641C">
        <w:rPr>
          <w:rFonts w:ascii="Arial" w:hAnsi="Arial" w:cs="Arial"/>
          <w:sz w:val="22"/>
          <w:szCs w:val="22"/>
          <w:lang w:val="es-ES" w:eastAsia="es-ES"/>
        </w:rPr>
        <w:t>por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el territorio nacional o</w:t>
      </w:r>
      <w:r w:rsidR="0034641C">
        <w:rPr>
          <w:rFonts w:ascii="Arial" w:hAnsi="Arial" w:cs="Arial"/>
          <w:sz w:val="22"/>
          <w:szCs w:val="22"/>
          <w:lang w:val="es-ES" w:eastAsia="es-ES"/>
        </w:rPr>
        <w:t>,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contrariamente, operaciones realizadas por un extranjero sin que el bien deje </w:t>
      </w:r>
      <w:r w:rsidR="0034641C">
        <w:rPr>
          <w:rFonts w:ascii="Arial" w:hAnsi="Arial" w:cs="Arial"/>
          <w:sz w:val="22"/>
          <w:szCs w:val="22"/>
          <w:lang w:val="es-ES" w:eastAsia="es-ES"/>
        </w:rPr>
        <w:t>España</w:t>
      </w:r>
      <w:r w:rsidRPr="003C72AB">
        <w:rPr>
          <w:rFonts w:ascii="Arial" w:hAnsi="Arial" w:cs="Arial"/>
          <w:sz w:val="22"/>
          <w:szCs w:val="22"/>
          <w:lang w:val="es-ES" w:eastAsia="es-ES"/>
        </w:rPr>
        <w:t>.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Balanza de invisibles: 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Transportes, seguros, intereses, dividendos, transferencias de salarios, viajes, patentes…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Las dos balanzas agrupadas forman la balanza de los bienes y servicios.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Balanza de transferencias unilaterales 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(</w:t>
      </w:r>
      <w:r w:rsidR="0034641C">
        <w:rPr>
          <w:rFonts w:ascii="Arial" w:hAnsi="Arial" w:cs="Arial"/>
          <w:sz w:val="22"/>
          <w:szCs w:val="22"/>
          <w:lang w:val="es-ES" w:eastAsia="es-ES"/>
        </w:rPr>
        <w:t>Por e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jemplo: ayuda a </w:t>
      </w:r>
      <w:r w:rsidR="0034641C">
        <w:rPr>
          <w:rFonts w:ascii="Arial" w:hAnsi="Arial" w:cs="Arial"/>
          <w:sz w:val="22"/>
          <w:szCs w:val="22"/>
          <w:lang w:val="es-ES" w:eastAsia="es-ES"/>
        </w:rPr>
        <w:t>país en vías de desarrollo</w:t>
      </w:r>
      <w:r w:rsidRPr="003C72AB">
        <w:rPr>
          <w:rFonts w:ascii="Arial" w:hAnsi="Arial" w:cs="Arial"/>
          <w:sz w:val="22"/>
          <w:szCs w:val="22"/>
          <w:lang w:val="es-ES" w:eastAsia="es-ES"/>
        </w:rPr>
        <w:t>).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La balanza de las transacciones corrientes es un indicador de</w:t>
      </w:r>
      <w:r w:rsidR="0034641C">
        <w:rPr>
          <w:rFonts w:ascii="Arial" w:hAnsi="Arial" w:cs="Arial"/>
          <w:sz w:val="22"/>
          <w:szCs w:val="22"/>
          <w:lang w:val="es-ES" w:eastAsia="es-ES"/>
        </w:rPr>
        <w:t>l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buen equilibrio económico de un país. Su saldo indica si habrá o no un excedente de medios de pago.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Balanza </w:t>
      </w:r>
      <w:r w:rsidR="0034641C">
        <w:rPr>
          <w:rFonts w:ascii="Arial" w:hAnsi="Arial" w:cs="Arial"/>
          <w:sz w:val="22"/>
          <w:szCs w:val="22"/>
          <w:lang w:val="es-ES" w:eastAsia="es-ES"/>
        </w:rPr>
        <w:t>de operaciones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</w:t>
      </w:r>
      <w:r w:rsidR="0034641C">
        <w:rPr>
          <w:rFonts w:ascii="Arial" w:hAnsi="Arial" w:cs="Arial"/>
          <w:sz w:val="22"/>
          <w:szCs w:val="22"/>
          <w:lang w:val="es-ES" w:eastAsia="es-ES"/>
        </w:rPr>
        <w:t>en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capital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Capitales a más de un año: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Crédito</w:t>
      </w:r>
      <w:r w:rsidR="0034641C">
        <w:rPr>
          <w:rFonts w:ascii="Arial" w:hAnsi="Arial" w:cs="Arial"/>
          <w:sz w:val="22"/>
          <w:szCs w:val="22"/>
          <w:lang w:val="es-ES" w:eastAsia="es-ES"/>
        </w:rPr>
        <w:t>s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comerciales para financiar importaciones y exportaciones, inversiones directas, préstamos, inversiones en cartera.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Capitales a corto plazo no bancarios: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Crédito</w:t>
      </w:r>
      <w:r w:rsidR="0034641C">
        <w:rPr>
          <w:rFonts w:ascii="Arial" w:hAnsi="Arial" w:cs="Arial"/>
          <w:sz w:val="22"/>
          <w:szCs w:val="22"/>
          <w:lang w:val="es-ES" w:eastAsia="es-ES"/>
        </w:rPr>
        <w:t>s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comerciales vinculados a las importaciones/exportaciones, préstamos, anticipos, operaci</w:t>
      </w:r>
      <w:r w:rsidR="0034641C">
        <w:rPr>
          <w:rFonts w:ascii="Arial" w:hAnsi="Arial" w:cs="Arial"/>
          <w:sz w:val="22"/>
          <w:szCs w:val="22"/>
          <w:lang w:val="es-ES" w:eastAsia="es-ES"/>
        </w:rPr>
        <w:t>o</w:t>
      </w:r>
      <w:r w:rsidRPr="003C72AB">
        <w:rPr>
          <w:rFonts w:ascii="Arial" w:hAnsi="Arial" w:cs="Arial"/>
          <w:sz w:val="22"/>
          <w:szCs w:val="22"/>
          <w:lang w:val="es-ES" w:eastAsia="es-ES"/>
        </w:rPr>
        <w:t>n</w:t>
      </w:r>
      <w:r w:rsidR="0034641C">
        <w:rPr>
          <w:rFonts w:ascii="Arial" w:hAnsi="Arial" w:cs="Arial"/>
          <w:sz w:val="22"/>
          <w:szCs w:val="22"/>
          <w:lang w:val="es-ES" w:eastAsia="es-ES"/>
        </w:rPr>
        <w:t>es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de cobertura de los riesgos de cambio u operaci</w:t>
      </w:r>
      <w:r w:rsidR="0034641C">
        <w:rPr>
          <w:rFonts w:ascii="Arial" w:hAnsi="Arial" w:cs="Arial"/>
          <w:sz w:val="22"/>
          <w:szCs w:val="22"/>
          <w:lang w:val="es-ES" w:eastAsia="es-ES"/>
        </w:rPr>
        <w:t>ones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especulativa</w:t>
      </w:r>
      <w:r w:rsidR="0034641C">
        <w:rPr>
          <w:rFonts w:ascii="Arial" w:hAnsi="Arial" w:cs="Arial"/>
          <w:sz w:val="22"/>
          <w:szCs w:val="22"/>
          <w:lang w:val="es-ES" w:eastAsia="es-ES"/>
        </w:rPr>
        <w:t>s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sobre monedas. Estos capitales a menudo se llaman flotantes.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Los movimientos monetarios: 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lastRenderedPageBreak/>
        <w:t xml:space="preserve">Evolución del importe de las reservas de cambio </w:t>
      </w:r>
      <w:r w:rsidR="0034641C">
        <w:rPr>
          <w:rFonts w:ascii="Arial" w:hAnsi="Arial" w:cs="Arial"/>
          <w:sz w:val="22"/>
          <w:szCs w:val="22"/>
          <w:lang w:val="es-ES" w:eastAsia="es-ES"/>
        </w:rPr>
        <w:t>guardadas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por los sectores bancarios y públicos.</w:t>
      </w:r>
    </w:p>
    <w:p w:rsidR="003C72AB" w:rsidRPr="003C72AB" w:rsidRDefault="003C72AB" w:rsidP="003C72AB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>- Mecanismos de ajuste</w:t>
      </w:r>
    </w:p>
    <w:p w:rsidR="001B34E4" w:rsidRPr="00B32D9D" w:rsidRDefault="003C72AB" w:rsidP="00B32D9D">
      <w:pPr>
        <w:adjustRightInd/>
        <w:textAlignment w:val="auto"/>
        <w:rPr>
          <w:szCs w:val="24"/>
          <w:lang w:val="es-ES" w:eastAsia="es-ES"/>
        </w:rPr>
      </w:pP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Un país no puede soportar </w:t>
      </w:r>
      <w:r w:rsidR="0034641C">
        <w:rPr>
          <w:rFonts w:ascii="Arial" w:hAnsi="Arial" w:cs="Arial"/>
          <w:sz w:val="22"/>
          <w:szCs w:val="22"/>
          <w:lang w:val="es-ES" w:eastAsia="es-ES"/>
        </w:rPr>
        <w:t>de forma duradera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un déficit </w:t>
      </w:r>
      <w:r w:rsidR="0034641C">
        <w:rPr>
          <w:rFonts w:ascii="Arial" w:hAnsi="Arial" w:cs="Arial"/>
          <w:sz w:val="22"/>
          <w:szCs w:val="22"/>
          <w:lang w:val="es-ES" w:eastAsia="es-ES"/>
        </w:rPr>
        <w:t>en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su balanza de transacciones corrientes. Inicialmente </w:t>
      </w:r>
      <w:r w:rsidR="0034641C">
        <w:rPr>
          <w:rFonts w:ascii="Arial" w:hAnsi="Arial" w:cs="Arial"/>
          <w:sz w:val="22"/>
          <w:szCs w:val="22"/>
          <w:lang w:val="es-ES" w:eastAsia="es-ES"/>
        </w:rPr>
        <w:t>se recurre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a los medios clásicos: intervención en el mercado de </w:t>
      </w:r>
      <w:r w:rsidR="0034641C">
        <w:rPr>
          <w:rFonts w:ascii="Arial" w:hAnsi="Arial" w:cs="Arial"/>
          <w:sz w:val="22"/>
          <w:szCs w:val="22"/>
          <w:lang w:val="es-ES" w:eastAsia="es-ES"/>
        </w:rPr>
        <w:t xml:space="preserve">los 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cambios, aumento de los tipos de intereses, control </w:t>
      </w:r>
      <w:r w:rsidR="0034641C">
        <w:rPr>
          <w:rFonts w:ascii="Arial" w:hAnsi="Arial" w:cs="Arial"/>
          <w:sz w:val="22"/>
          <w:szCs w:val="22"/>
          <w:lang w:val="es-ES" w:eastAsia="es-ES"/>
        </w:rPr>
        <w:t xml:space="preserve">de </w:t>
      </w:r>
      <w:r w:rsidRPr="003C72AB">
        <w:rPr>
          <w:rFonts w:ascii="Arial" w:hAnsi="Arial" w:cs="Arial"/>
          <w:sz w:val="22"/>
          <w:szCs w:val="22"/>
          <w:lang w:val="es-ES" w:eastAsia="es-ES"/>
        </w:rPr>
        <w:t>cambios</w:t>
      </w:r>
      <w:r w:rsidR="0034641C">
        <w:rPr>
          <w:rFonts w:ascii="Arial" w:hAnsi="Arial" w:cs="Arial"/>
          <w:sz w:val="22"/>
          <w:szCs w:val="22"/>
          <w:lang w:val="es-ES" w:eastAsia="es-ES"/>
        </w:rPr>
        <w:t>,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lo que tendrá como efecto, a medio plazo, limitar inversiones y crecimiento y causará </w:t>
      </w:r>
      <w:r w:rsidR="0034641C">
        <w:rPr>
          <w:rFonts w:ascii="Arial" w:hAnsi="Arial" w:cs="Arial"/>
          <w:sz w:val="22"/>
          <w:szCs w:val="22"/>
          <w:lang w:val="es-ES" w:eastAsia="es-ES"/>
        </w:rPr>
        <w:t xml:space="preserve">más 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pronto o </w:t>
      </w:r>
      <w:r w:rsidR="0034641C">
        <w:rPr>
          <w:rFonts w:ascii="Arial" w:hAnsi="Arial" w:cs="Arial"/>
          <w:sz w:val="22"/>
          <w:szCs w:val="22"/>
          <w:lang w:val="es-ES" w:eastAsia="es-ES"/>
        </w:rPr>
        <w:t xml:space="preserve">más 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tarde unos movimientos de reducción de valor de la moneda. Una devaluación de la moneda implicará la reducción de los precios de los productos nacionales en los mercados extranjeros y el aumento de los precios de los productos extranjeros en el territorio nacional. Impondrá en el país esfuerzos económicos </w:t>
      </w:r>
      <w:r w:rsidR="00B32D9D">
        <w:rPr>
          <w:rFonts w:ascii="Arial" w:hAnsi="Arial" w:cs="Arial"/>
          <w:sz w:val="22"/>
          <w:szCs w:val="22"/>
          <w:lang w:val="es-ES" w:eastAsia="es-ES"/>
        </w:rPr>
        <w:t>a</w:t>
      </w:r>
      <w:r w:rsidRPr="003C72AB">
        <w:rPr>
          <w:rFonts w:ascii="Arial" w:hAnsi="Arial" w:cs="Arial"/>
          <w:sz w:val="22"/>
          <w:szCs w:val="22"/>
          <w:lang w:val="es-ES" w:eastAsia="es-ES"/>
        </w:rPr>
        <w:t xml:space="preserve"> todos los agentes.</w:t>
      </w:r>
      <w:bookmarkEnd w:id="0"/>
    </w:p>
    <w:p w:rsidR="001B34E4" w:rsidRPr="003C72AB" w:rsidRDefault="001B34E4">
      <w:pPr>
        <w:rPr>
          <w:rFonts w:ascii="Arial" w:hAnsi="Arial" w:cs="Arial"/>
          <w:sz w:val="22"/>
          <w:szCs w:val="22"/>
          <w:lang w:val="es-ES"/>
        </w:rPr>
      </w:pPr>
    </w:p>
    <w:p w:rsidR="002B6E5B" w:rsidRPr="003C72AB" w:rsidRDefault="002B6E5B">
      <w:pPr>
        <w:rPr>
          <w:rFonts w:ascii="Arial" w:hAnsi="Arial" w:cs="Arial"/>
          <w:sz w:val="22"/>
          <w:szCs w:val="22"/>
          <w:lang w:val="es-ES"/>
        </w:rPr>
      </w:pPr>
    </w:p>
    <w:sectPr w:rsidR="002B6E5B" w:rsidRPr="003C72AB" w:rsidSect="001B34E4">
      <w:footerReference w:type="even" r:id="rId7"/>
      <w:pgSz w:w="11907" w:h="16840" w:code="9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ABB" w:rsidRDefault="00807ABB">
      <w:r>
        <w:separator/>
      </w:r>
    </w:p>
  </w:endnote>
  <w:endnote w:type="continuationSeparator" w:id="1">
    <w:p w:rsidR="00807ABB" w:rsidRDefault="00807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4E4" w:rsidRDefault="00A9380D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2B6E5B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2B6E5B">
      <w:rPr>
        <w:rStyle w:val="Nmerodepgina"/>
      </w:rPr>
      <w:t>4</w:t>
    </w:r>
    <w:r>
      <w:rPr>
        <w:rStyle w:val="Nmerodepgina"/>
      </w:rPr>
      <w:fldChar w:fldCharType="end"/>
    </w:r>
  </w:p>
  <w:p w:rsidR="001B34E4" w:rsidRDefault="001B34E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ABB" w:rsidRDefault="00807ABB">
      <w:r>
        <w:separator/>
      </w:r>
    </w:p>
  </w:footnote>
  <w:footnote w:type="continuationSeparator" w:id="1">
    <w:p w:rsidR="00807ABB" w:rsidRDefault="00807A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2C8A8A2"/>
    <w:lvl w:ilvl="0">
      <w:start w:val="1"/>
      <w:numFmt w:val="upperRoman"/>
      <w:pStyle w:val="Ttulo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Ttulo2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tulo3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Ttulo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tulo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Ttulo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Ttulo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Ttulo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Ttulo9"/>
      <w:lvlText w:val="(%9)"/>
      <w:legacy w:legacy="1" w:legacySpace="0" w:legacyIndent="708"/>
      <w:lvlJc w:val="left"/>
      <w:pPr>
        <w:ind w:left="6372" w:hanging="708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A4710B"/>
    <w:rsid w:val="001B34E4"/>
    <w:rsid w:val="00224C32"/>
    <w:rsid w:val="002B6E5B"/>
    <w:rsid w:val="0034641C"/>
    <w:rsid w:val="003C72AB"/>
    <w:rsid w:val="004D7F99"/>
    <w:rsid w:val="00783612"/>
    <w:rsid w:val="00807ABB"/>
    <w:rsid w:val="009A43DB"/>
    <w:rsid w:val="00A4710B"/>
    <w:rsid w:val="00A9380D"/>
    <w:rsid w:val="00B32D9D"/>
    <w:rsid w:val="00DA2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E4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Ttulo1">
    <w:name w:val="heading 1"/>
    <w:basedOn w:val="Normal"/>
    <w:next w:val="Normal"/>
    <w:qFormat/>
    <w:rsid w:val="001B34E4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qFormat/>
    <w:rsid w:val="001B34E4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Ttulo3">
    <w:name w:val="heading 3"/>
    <w:basedOn w:val="Normal"/>
    <w:next w:val="Normal"/>
    <w:qFormat/>
    <w:rsid w:val="001B34E4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1B34E4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Ttulo5">
    <w:name w:val="heading 5"/>
    <w:basedOn w:val="Normal"/>
    <w:next w:val="Normal"/>
    <w:qFormat/>
    <w:rsid w:val="001B34E4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qFormat/>
    <w:rsid w:val="001B34E4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qFormat/>
    <w:rsid w:val="001B34E4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1B34E4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1B34E4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DRECOULEUR">
    <w:name w:val="ENCADRE COULEUR"/>
    <w:basedOn w:val="Normal"/>
    <w:rsid w:val="001B34E4"/>
    <w:pPr>
      <w:pBdr>
        <w:top w:val="double" w:sz="6" w:space="1" w:color="FF0000" w:shadow="1"/>
        <w:left w:val="double" w:sz="6" w:space="1" w:color="FF0000" w:shadow="1"/>
        <w:bottom w:val="double" w:sz="6" w:space="1" w:color="FF0000" w:shadow="1"/>
        <w:right w:val="double" w:sz="6" w:space="1" w:color="FF0000" w:shadow="1"/>
      </w:pBdr>
      <w:shd w:val="pct10" w:color="FF0000" w:fill="FF00FF"/>
      <w:ind w:left="2835" w:right="2835"/>
      <w:jc w:val="center"/>
    </w:pPr>
    <w:rPr>
      <w:b/>
    </w:rPr>
  </w:style>
  <w:style w:type="paragraph" w:styleId="Encabezado">
    <w:name w:val="header"/>
    <w:basedOn w:val="Normal"/>
    <w:semiHidden/>
    <w:rsid w:val="001B34E4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semiHidden/>
    <w:rsid w:val="001B34E4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semiHidden/>
    <w:rsid w:val="001B34E4"/>
  </w:style>
  <w:style w:type="paragraph" w:styleId="TDC1">
    <w:name w:val="toc 1"/>
    <w:basedOn w:val="Normal"/>
    <w:next w:val="Normal"/>
    <w:semiHidden/>
    <w:rsid w:val="001B34E4"/>
    <w:pPr>
      <w:tabs>
        <w:tab w:val="right" w:leader="underscore" w:pos="8505"/>
      </w:tabs>
      <w:spacing w:before="120"/>
    </w:pPr>
    <w:rPr>
      <w:b/>
      <w:i/>
    </w:rPr>
  </w:style>
  <w:style w:type="paragraph" w:styleId="TDC2">
    <w:name w:val="toc 2"/>
    <w:basedOn w:val="Normal"/>
    <w:next w:val="Normal"/>
    <w:semiHidden/>
    <w:rsid w:val="001B34E4"/>
    <w:pPr>
      <w:tabs>
        <w:tab w:val="right" w:leader="underscore" w:pos="8505"/>
      </w:tabs>
      <w:spacing w:before="120"/>
    </w:pPr>
    <w:rPr>
      <w:b/>
      <w:sz w:val="22"/>
    </w:rPr>
  </w:style>
  <w:style w:type="paragraph" w:styleId="TDC3">
    <w:name w:val="toc 3"/>
    <w:basedOn w:val="Normal"/>
    <w:next w:val="Normal"/>
    <w:semiHidden/>
    <w:rsid w:val="001B34E4"/>
    <w:pPr>
      <w:tabs>
        <w:tab w:val="right" w:leader="underscore" w:pos="8505"/>
      </w:tabs>
      <w:ind w:left="240"/>
    </w:pPr>
    <w:rPr>
      <w:sz w:val="20"/>
    </w:rPr>
  </w:style>
  <w:style w:type="paragraph" w:styleId="TDC4">
    <w:name w:val="toc 4"/>
    <w:basedOn w:val="Normal"/>
    <w:next w:val="Normal"/>
    <w:semiHidden/>
    <w:rsid w:val="001B34E4"/>
    <w:pPr>
      <w:tabs>
        <w:tab w:val="right" w:leader="underscore" w:pos="8505"/>
      </w:tabs>
      <w:ind w:left="480"/>
    </w:pPr>
    <w:rPr>
      <w:sz w:val="20"/>
    </w:rPr>
  </w:style>
  <w:style w:type="paragraph" w:styleId="TDC5">
    <w:name w:val="toc 5"/>
    <w:basedOn w:val="Normal"/>
    <w:next w:val="Normal"/>
    <w:semiHidden/>
    <w:rsid w:val="001B34E4"/>
    <w:pPr>
      <w:tabs>
        <w:tab w:val="right" w:leader="underscore" w:pos="8505"/>
      </w:tabs>
      <w:ind w:left="720"/>
    </w:pPr>
    <w:rPr>
      <w:sz w:val="20"/>
    </w:rPr>
  </w:style>
  <w:style w:type="paragraph" w:styleId="TDC6">
    <w:name w:val="toc 6"/>
    <w:basedOn w:val="Normal"/>
    <w:next w:val="Normal"/>
    <w:semiHidden/>
    <w:rsid w:val="001B34E4"/>
    <w:pPr>
      <w:tabs>
        <w:tab w:val="right" w:leader="underscore" w:pos="8505"/>
      </w:tabs>
      <w:ind w:left="960"/>
    </w:pPr>
    <w:rPr>
      <w:sz w:val="20"/>
    </w:rPr>
  </w:style>
  <w:style w:type="paragraph" w:styleId="TDC7">
    <w:name w:val="toc 7"/>
    <w:basedOn w:val="Normal"/>
    <w:next w:val="Normal"/>
    <w:semiHidden/>
    <w:rsid w:val="001B34E4"/>
    <w:pPr>
      <w:tabs>
        <w:tab w:val="right" w:leader="underscore" w:pos="8505"/>
      </w:tabs>
      <w:ind w:left="1200"/>
    </w:pPr>
    <w:rPr>
      <w:sz w:val="20"/>
    </w:rPr>
  </w:style>
  <w:style w:type="paragraph" w:styleId="TDC8">
    <w:name w:val="toc 8"/>
    <w:basedOn w:val="Normal"/>
    <w:next w:val="Normal"/>
    <w:semiHidden/>
    <w:rsid w:val="001B34E4"/>
    <w:pPr>
      <w:tabs>
        <w:tab w:val="right" w:leader="underscore" w:pos="8505"/>
      </w:tabs>
      <w:ind w:left="1440"/>
    </w:pPr>
    <w:rPr>
      <w:sz w:val="20"/>
    </w:rPr>
  </w:style>
  <w:style w:type="paragraph" w:styleId="TDC9">
    <w:name w:val="toc 9"/>
    <w:basedOn w:val="Normal"/>
    <w:next w:val="Normal"/>
    <w:semiHidden/>
    <w:rsid w:val="001B34E4"/>
    <w:pPr>
      <w:tabs>
        <w:tab w:val="right" w:leader="underscore" w:pos="8505"/>
      </w:tabs>
      <w:ind w:left="1680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5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Balance des opérations en capital</vt:lpstr>
      <vt:lpstr>Balance des opérations en capital</vt:lpstr>
    </vt:vector>
  </TitlesOfParts>
  <Company>D S</Company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Balance des opérations en capital</dc:title>
  <dc:subject/>
  <dc:creator>C.F.C  d'AVIGNON</dc:creator>
  <cp:keywords/>
  <cp:lastModifiedBy>P4</cp:lastModifiedBy>
  <cp:revision>2</cp:revision>
  <cp:lastPrinted>1601-01-01T00:00:00Z</cp:lastPrinted>
  <dcterms:created xsi:type="dcterms:W3CDTF">2007-09-24T08:58:00Z</dcterms:created>
  <dcterms:modified xsi:type="dcterms:W3CDTF">2007-09-24T08:58:00Z</dcterms:modified>
</cp:coreProperties>
</file>